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adjustRightInd w:val="0"/>
        <w:snapToGrid w:val="0"/>
        <w:spacing w:before="0" w:beforeAutospacing="0" w:after="0" w:afterAutospacing="0" w:line="360" w:lineRule="auto"/>
        <w:jc w:val="center"/>
        <w:rPr>
          <w:rFonts w:ascii="黑体" w:eastAsia="黑体" w:cs="Times New Roman"/>
          <w:b/>
          <w:bCs/>
          <w:sz w:val="32"/>
          <w:szCs w:val="32"/>
        </w:rPr>
      </w:pPr>
      <w:r>
        <w:rPr>
          <w:rFonts w:hint="eastAsia" w:ascii="黑体" w:eastAsia="黑体" w:cs="Times New Roman"/>
          <w:b/>
          <w:bCs/>
          <w:sz w:val="32"/>
          <w:szCs w:val="32"/>
        </w:rPr>
        <w:t>2021年福建省中小学新任教师公开招聘考试</w:t>
      </w:r>
    </w:p>
    <w:p>
      <w:pPr>
        <w:pStyle w:val="11"/>
        <w:adjustRightInd w:val="0"/>
        <w:snapToGrid w:val="0"/>
        <w:spacing w:before="0" w:beforeAutospacing="0" w:after="0" w:afterAutospacing="0" w:line="360" w:lineRule="auto"/>
        <w:jc w:val="center"/>
        <w:rPr>
          <w:rFonts w:ascii="黑体" w:eastAsia="黑体" w:cs="Times New Roman"/>
          <w:b/>
          <w:bCs/>
          <w:sz w:val="32"/>
          <w:szCs w:val="32"/>
        </w:rPr>
      </w:pPr>
      <w:r>
        <w:rPr>
          <w:rFonts w:hint="eastAsia" w:ascii="黑体" w:eastAsia="黑体" w:cs="Times New Roman"/>
          <w:b/>
          <w:bCs/>
          <w:sz w:val="32"/>
          <w:szCs w:val="32"/>
        </w:rPr>
        <w:t>中学物理学科考试大纲</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default" w:ascii="Times New Roman" w:hAnsi="Times New Roman" w:cs="Times New Roman"/>
          <w:sz w:val="24"/>
        </w:rPr>
      </w:pPr>
      <w:r>
        <w:rPr>
          <w:rFonts w:hint="default" w:ascii="Times New Roman" w:hAnsi="Times New Roman" w:cs="Times New Roman"/>
          <w:sz w:val="24"/>
        </w:rPr>
        <w:t>为全面贯彻落实党的教育方针和十九大精神，以习近平新时代中国特色社会主义思想为指导，坚持立德树人，弘扬和培育社会主义核心价值观，具体落实中共福建省委、福建省人民政府印发的《关于全面深化新时代教师队伍建设改革的实施意见》，加强学科关键能力和核心素养的考查，选拔新任教师，特制定本大纲。</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default" w:ascii="Times New Roman" w:hAnsi="Times New Roman" w:cs="Times New Roman"/>
          <w:b/>
          <w:sz w:val="24"/>
        </w:rPr>
      </w:pPr>
      <w:r>
        <w:rPr>
          <w:rFonts w:hint="default" w:ascii="Times New Roman" w:hAnsi="Times New Roman" w:cs="Times New Roman"/>
          <w:b/>
          <w:sz w:val="24"/>
        </w:rPr>
        <w:t>一、考试性质</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default" w:ascii="Times New Roman" w:hAnsi="Times New Roman" w:cs="Times New Roman"/>
          <w:sz w:val="24"/>
        </w:rPr>
      </w:pPr>
      <w:r>
        <w:rPr>
          <w:rFonts w:hint="default" w:ascii="Times New Roman" w:hAnsi="Times New Roman" w:cs="Times New Roman"/>
          <w:sz w:val="24"/>
        </w:rPr>
        <w:t>福建省中小学新任教师公开招聘考试是符合招聘条件的考生参加的全省统一的选拔性考试。考试结果将作为福建省中小学新任教师公开招聘</w:t>
      </w:r>
      <w:r>
        <w:rPr>
          <w:rFonts w:hint="default" w:ascii="Times New Roman" w:hAnsi="Times New Roman" w:cs="Times New Roman"/>
          <w:sz w:val="24"/>
          <w:lang w:val="en-US" w:eastAsia="zh-CN"/>
        </w:rPr>
        <w:t>面试</w:t>
      </w:r>
      <w:r>
        <w:rPr>
          <w:rFonts w:hint="default" w:ascii="Times New Roman" w:hAnsi="Times New Roman" w:cs="Times New Roman"/>
          <w:sz w:val="24"/>
        </w:rPr>
        <w:t>的依据。招聘考试从教师应有的专业素质和教育教学能力等方面进行全面考核，择优录取</w:t>
      </w:r>
      <w:r>
        <w:rPr>
          <w:rFonts w:hint="eastAsia" w:cs="Times New Roman"/>
          <w:sz w:val="24"/>
          <w:lang w:eastAsia="zh-CN"/>
        </w:rPr>
        <w:t>，</w:t>
      </w:r>
      <w:r>
        <w:rPr>
          <w:rFonts w:hint="default" w:ascii="Times New Roman" w:hAnsi="Times New Roman" w:cs="Times New Roman"/>
          <w:sz w:val="24"/>
        </w:rPr>
        <w:t>具有较高的信度、效度，必要的区分度和适当的难度。</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default" w:ascii="Times New Roman" w:hAnsi="Times New Roman" w:cs="Times New Roman"/>
          <w:b/>
          <w:sz w:val="24"/>
        </w:rPr>
      </w:pPr>
      <w:r>
        <w:rPr>
          <w:rFonts w:hint="default" w:ascii="Times New Roman" w:hAnsi="Times New Roman" w:cs="Times New Roman"/>
          <w:b/>
          <w:sz w:val="24"/>
        </w:rPr>
        <w:t>二、考试目标与要求</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default" w:ascii="Times New Roman" w:hAnsi="Times New Roman" w:cs="Times New Roman"/>
          <w:sz w:val="24"/>
        </w:rPr>
      </w:pPr>
      <w:r>
        <w:rPr>
          <w:rFonts w:hint="default" w:ascii="Times New Roman" w:hAnsi="Times New Roman" w:cs="Times New Roman"/>
          <w:sz w:val="24"/>
        </w:rPr>
        <w:t>1</w:t>
      </w:r>
      <w:r>
        <w:rPr>
          <w:rFonts w:hint="default" w:ascii="Times New Roman" w:hAnsi="Times New Roman" w:cs="Times New Roman"/>
          <w:bCs/>
        </w:rPr>
        <w:t>.</w:t>
      </w:r>
      <w:r>
        <w:rPr>
          <w:rFonts w:hint="default" w:ascii="Times New Roman" w:hAnsi="Times New Roman" w:cs="Times New Roman"/>
          <w:sz w:val="24"/>
        </w:rPr>
        <w:t>考查考生通过物理学习而形成的正确价值观、必备品格和关键能力。考查考生物理学科核心素养，主要包括</w:t>
      </w:r>
      <w:r>
        <w:rPr>
          <w:rFonts w:hint="eastAsia" w:cs="Times New Roman"/>
          <w:sz w:val="24"/>
          <w:lang w:eastAsia="zh-CN"/>
        </w:rPr>
        <w:t>“</w:t>
      </w:r>
      <w:r>
        <w:rPr>
          <w:rFonts w:hint="default" w:ascii="Times New Roman" w:hAnsi="Times New Roman" w:cs="Times New Roman"/>
          <w:sz w:val="24"/>
        </w:rPr>
        <w:t>物理观念</w:t>
      </w:r>
      <w:r>
        <w:rPr>
          <w:rFonts w:hint="eastAsia" w:cs="Times New Roman"/>
          <w:sz w:val="24"/>
          <w:lang w:eastAsia="zh-CN"/>
        </w:rPr>
        <w:t>”“</w:t>
      </w:r>
      <w:r>
        <w:rPr>
          <w:rFonts w:hint="default" w:ascii="Times New Roman" w:hAnsi="Times New Roman" w:cs="Times New Roman"/>
          <w:sz w:val="24"/>
        </w:rPr>
        <w:t>科学思维</w:t>
      </w:r>
      <w:r>
        <w:rPr>
          <w:rFonts w:hint="eastAsia" w:cs="Times New Roman"/>
          <w:sz w:val="24"/>
          <w:lang w:eastAsia="zh-CN"/>
        </w:rPr>
        <w:t>”“</w:t>
      </w:r>
      <w:r>
        <w:rPr>
          <w:rFonts w:hint="default" w:ascii="Times New Roman" w:hAnsi="Times New Roman" w:cs="Times New Roman"/>
          <w:sz w:val="24"/>
        </w:rPr>
        <w:t>科学探究</w:t>
      </w:r>
      <w:r>
        <w:rPr>
          <w:rFonts w:hint="eastAsia" w:cs="Times New Roman"/>
          <w:sz w:val="24"/>
          <w:lang w:eastAsia="zh-CN"/>
        </w:rPr>
        <w:t>”“</w:t>
      </w:r>
      <w:r>
        <w:rPr>
          <w:rFonts w:hint="default" w:ascii="Times New Roman" w:hAnsi="Times New Roman" w:cs="Times New Roman"/>
          <w:sz w:val="24"/>
        </w:rPr>
        <w:t>科学态度与责任</w:t>
      </w:r>
      <w:r>
        <w:rPr>
          <w:rFonts w:hint="eastAsia" w:cs="Times New Roman"/>
          <w:sz w:val="24"/>
          <w:lang w:eastAsia="zh-CN"/>
        </w:rPr>
        <w:t>”</w:t>
      </w:r>
      <w:r>
        <w:rPr>
          <w:rFonts w:hint="default" w:ascii="Times New Roman" w:hAnsi="Times New Roman" w:cs="Times New Roman"/>
          <w:sz w:val="24"/>
        </w:rPr>
        <w:t>四个方面。</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default" w:ascii="Times New Roman" w:hAnsi="Times New Roman" w:cs="Times New Roman"/>
          <w:sz w:val="24"/>
        </w:rPr>
      </w:pPr>
      <w:r>
        <w:rPr>
          <w:rFonts w:hint="default" w:ascii="Times New Roman" w:hAnsi="Times New Roman" w:cs="Times New Roman"/>
          <w:sz w:val="24"/>
        </w:rPr>
        <w:t>2</w:t>
      </w:r>
      <w:r>
        <w:rPr>
          <w:rFonts w:hint="default" w:ascii="Times New Roman" w:hAnsi="Times New Roman" w:cs="Times New Roman"/>
          <w:bCs/>
        </w:rPr>
        <w:t>.</w:t>
      </w:r>
      <w:r>
        <w:rPr>
          <w:rFonts w:hint="default" w:ascii="Times New Roman" w:hAnsi="Times New Roman" w:cs="Times New Roman"/>
          <w:sz w:val="24"/>
        </w:rPr>
        <w:t>考查考生理解与中学物理课程相关的大学物理知识，能够理论联系实际，综合运用所学知识解决生产、生活和社会发展中的一些物理问题，关注目前物理科学发展中的前沿和热点问题及其对科学和社会发展的影响和意义。</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default" w:ascii="Times New Roman" w:hAnsi="Times New Roman" w:cs="Times New Roman"/>
          <w:sz w:val="24"/>
        </w:rPr>
      </w:pPr>
      <w:r>
        <w:rPr>
          <w:rFonts w:hint="default" w:ascii="Times New Roman" w:hAnsi="Times New Roman" w:cs="Times New Roman"/>
          <w:sz w:val="24"/>
        </w:rPr>
        <w:t>3</w:t>
      </w:r>
      <w:r>
        <w:rPr>
          <w:rFonts w:hint="default" w:ascii="Times New Roman" w:hAnsi="Times New Roman" w:cs="Times New Roman"/>
          <w:bCs/>
        </w:rPr>
        <w:t>.</w:t>
      </w:r>
      <w:r>
        <w:rPr>
          <w:rFonts w:hint="default" w:ascii="Times New Roman" w:hAnsi="Times New Roman" w:cs="Times New Roman"/>
          <w:sz w:val="24"/>
        </w:rPr>
        <w:t>考查考生掌握中学物理课程</w:t>
      </w:r>
      <w:r>
        <w:rPr>
          <w:rFonts w:hint="default" w:ascii="Times New Roman" w:hAnsi="Times New Roman" w:cs="Times New Roman"/>
          <w:bCs/>
          <w:sz w:val="24"/>
        </w:rPr>
        <w:t>与教学论的基本理论、知识和方法，并能将其运用于分析、解决中学物理教学中的理论问题和实践问题，具备从事中学物理教育、教学工作所必需的基本技能和教学能力等</w:t>
      </w:r>
      <w:r>
        <w:rPr>
          <w:rFonts w:hint="default" w:ascii="Times New Roman" w:hAnsi="Times New Roman" w:cs="Times New Roman"/>
          <w:sz w:val="24"/>
        </w:rPr>
        <w:t>。</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default" w:ascii="Times New Roman" w:hAnsi="Times New Roman" w:cs="Times New Roman"/>
          <w:b/>
          <w:sz w:val="24"/>
        </w:rPr>
      </w:pPr>
      <w:r>
        <w:rPr>
          <w:rFonts w:hint="default" w:ascii="Times New Roman" w:hAnsi="Times New Roman" w:cs="Times New Roman"/>
          <w:b/>
          <w:sz w:val="24"/>
        </w:rPr>
        <w:t>三、考试范围与内容</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default" w:ascii="Times New Roman" w:hAnsi="Times New Roman" w:cs="Times New Roman"/>
          <w:sz w:val="24"/>
        </w:rPr>
      </w:pPr>
      <w:r>
        <w:rPr>
          <w:rFonts w:hint="default" w:ascii="Times New Roman" w:hAnsi="Times New Roman" w:cs="Times New Roman"/>
          <w:sz w:val="24"/>
        </w:rPr>
        <w:t>考试范围涵盖三个方面，即中学物理内容、大学物理内容、中学物理课程与教学论内容。</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cs="Times New Roman"/>
          <w:bCs/>
        </w:rPr>
      </w:pPr>
      <w:r>
        <w:rPr>
          <w:rFonts w:hint="default" w:ascii="Times New Roman" w:hAnsi="Times New Roman" w:cs="Times New Roman"/>
          <w:bCs/>
        </w:rPr>
        <w:t>1.中学物理内容</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Style w:val="6"/>
          <w:rFonts w:hint="default" w:ascii="Times New Roman" w:hAnsi="Times New Roman" w:cs="Times New Roman"/>
          <w:b w:val="0"/>
          <w:bCs w:val="0"/>
          <w:sz w:val="24"/>
        </w:rPr>
      </w:pPr>
      <w:r>
        <w:rPr>
          <w:rFonts w:hint="default" w:ascii="Times New Roman" w:hAnsi="Times New Roman" w:cs="Times New Roman"/>
          <w:kern w:val="0"/>
          <w:sz w:val="24"/>
        </w:rPr>
        <w:t>《普通高中物理课程标准（2017年版2020年修订）》</w:t>
      </w:r>
      <w:r>
        <w:rPr>
          <w:rFonts w:hint="default" w:ascii="Times New Roman" w:hAnsi="Times New Roman" w:cs="Times New Roman"/>
          <w:sz w:val="24"/>
        </w:rPr>
        <w:t>中的课程结构（具体内容</w:t>
      </w:r>
      <w:r>
        <w:rPr>
          <w:rFonts w:hint="default" w:ascii="Times New Roman" w:hAnsi="Times New Roman" w:cs="Times New Roman"/>
          <w:kern w:val="0"/>
          <w:sz w:val="24"/>
        </w:rPr>
        <w:t>参见附件：表1和表2）。</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cs="Times New Roman"/>
          <w:bCs/>
        </w:rPr>
      </w:pPr>
      <w:r>
        <w:rPr>
          <w:rFonts w:hint="default" w:ascii="Times New Roman" w:hAnsi="Times New Roman" w:cs="Times New Roman"/>
          <w:bCs/>
        </w:rPr>
        <w:t>2.大学物理内容</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（1） 普通物理中的力学、电磁学、热学、光学、原子物理学的基础理论。</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（2） 普通物理基本实验。</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（3） 近代物理基础知识。</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这部分内容的要求是对中学物理知识的深化和能力的扩展。</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cs="Times New Roman"/>
          <w:bCs/>
        </w:rPr>
      </w:pPr>
      <w:r>
        <w:rPr>
          <w:rFonts w:hint="default" w:ascii="Times New Roman" w:hAnsi="Times New Roman" w:cs="Times New Roman"/>
          <w:bCs/>
        </w:rPr>
        <w:t>3.中学物理课程与教学论内容</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szCs w:val="21"/>
        </w:rPr>
        <w:t>《普通高中物理课程标准（2017年版</w:t>
      </w:r>
      <w:r>
        <w:rPr>
          <w:rFonts w:hint="default" w:ascii="Times New Roman" w:hAnsi="Times New Roman" w:cs="Times New Roman"/>
        </w:rPr>
        <w:t>2020年修订</w:t>
      </w:r>
      <w:r>
        <w:rPr>
          <w:rFonts w:hint="default" w:ascii="Times New Roman" w:hAnsi="Times New Roman" w:cs="Times New Roman"/>
          <w:szCs w:val="21"/>
        </w:rPr>
        <w:t>）》</w:t>
      </w:r>
      <w:r>
        <w:rPr>
          <w:rFonts w:hint="default" w:ascii="Times New Roman" w:hAnsi="Times New Roman" w:cs="Times New Roman"/>
        </w:rPr>
        <w:t>中的课程性质与基本理念、学科核心素养与课程目标、课程结构、课程内容、学业质量、实施建议。</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bCs/>
        </w:rPr>
        <w:t>中学物理课程与教学论中的</w:t>
      </w:r>
      <w:r>
        <w:rPr>
          <w:rFonts w:hint="default" w:ascii="Times New Roman" w:hAnsi="Times New Roman" w:cs="Times New Roman"/>
        </w:rPr>
        <w:t>中学物理教学目的与要求、教学原则、教学过程、教学方法、概念与规律教学、实验教学、复习与练习教学、教学手段应用、教学技能、教学案例的设计和评析、教学评价等。</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default" w:ascii="Times New Roman" w:hAnsi="Times New Roman" w:cs="Times New Roman"/>
          <w:b/>
          <w:sz w:val="24"/>
        </w:rPr>
      </w:pPr>
      <w:r>
        <w:rPr>
          <w:rFonts w:hint="default" w:ascii="Times New Roman" w:hAnsi="Times New Roman" w:cs="Times New Roman"/>
          <w:b/>
          <w:sz w:val="24"/>
        </w:rPr>
        <w:t>四、考试形式</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textAlignment w:val="auto"/>
        <w:outlineLvl w:val="9"/>
        <w:rPr>
          <w:rFonts w:hint="default" w:ascii="Times New Roman" w:hAnsi="Times New Roman" w:cs="Times New Roman"/>
        </w:rPr>
      </w:pPr>
      <w:r>
        <w:rPr>
          <w:rFonts w:hint="default" w:ascii="Times New Roman" w:hAnsi="Times New Roman" w:cs="Times New Roman"/>
          <w:bCs/>
        </w:rPr>
        <w:t>1.考试形式</w:t>
      </w:r>
      <w:r>
        <w:rPr>
          <w:rFonts w:hint="default" w:ascii="Times New Roman" w:hAnsi="Times New Roman" w:cs="Times New Roman"/>
        </w:rPr>
        <w:t>：闭卷、笔试。</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textAlignment w:val="auto"/>
        <w:outlineLvl w:val="9"/>
        <w:rPr>
          <w:rFonts w:hint="default" w:ascii="Times New Roman" w:hAnsi="Times New Roman" w:cs="Times New Roman"/>
        </w:rPr>
      </w:pPr>
      <w:r>
        <w:rPr>
          <w:rFonts w:hint="default" w:ascii="Times New Roman" w:hAnsi="Times New Roman" w:cs="Times New Roman"/>
          <w:bCs/>
        </w:rPr>
        <w:t>2.考试时间</w:t>
      </w:r>
      <w:r>
        <w:rPr>
          <w:rFonts w:hint="default" w:ascii="Times New Roman" w:hAnsi="Times New Roman" w:cs="Times New Roman"/>
        </w:rPr>
        <w:t>：120分钟。</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textAlignment w:val="auto"/>
        <w:outlineLvl w:val="9"/>
        <w:rPr>
          <w:rFonts w:hint="default" w:ascii="Times New Roman" w:hAnsi="Times New Roman" w:cs="Times New Roman"/>
        </w:rPr>
      </w:pPr>
      <w:r>
        <w:rPr>
          <w:rFonts w:hint="default" w:ascii="Times New Roman" w:hAnsi="Times New Roman" w:cs="Times New Roman"/>
        </w:rPr>
        <w:t>3.试卷分值：150分。</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default" w:ascii="Times New Roman" w:hAnsi="Times New Roman" w:cs="Times New Roman"/>
          <w:b/>
          <w:sz w:val="24"/>
        </w:rPr>
      </w:pPr>
      <w:r>
        <w:rPr>
          <w:rFonts w:hint="default" w:ascii="Times New Roman" w:hAnsi="Times New Roman" w:cs="Times New Roman"/>
          <w:b/>
          <w:sz w:val="24"/>
        </w:rPr>
        <w:t>五、试卷结构</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textAlignment w:val="auto"/>
        <w:outlineLvl w:val="9"/>
        <w:rPr>
          <w:rFonts w:hint="default" w:ascii="Times New Roman" w:hAnsi="Times New Roman" w:cs="Times New Roman"/>
        </w:rPr>
      </w:pPr>
      <w:r>
        <w:rPr>
          <w:rFonts w:hint="default" w:ascii="Times New Roman" w:hAnsi="Times New Roman" w:cs="Times New Roman"/>
          <w:bCs/>
        </w:rPr>
        <w:t>1.主要题型：</w:t>
      </w:r>
      <w:r>
        <w:rPr>
          <w:rFonts w:hint="default" w:ascii="Times New Roman" w:hAnsi="Times New Roman" w:cs="Times New Roman"/>
        </w:rPr>
        <w:t>选择题和非选择题。非选择题包括填空题、实验题、计算题、论述题、教学设计题、教学案例分析题等。</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textAlignment w:val="auto"/>
        <w:outlineLvl w:val="9"/>
        <w:rPr>
          <w:rFonts w:hint="default" w:ascii="Times New Roman" w:hAnsi="Times New Roman" w:cs="Times New Roman"/>
          <w:bCs/>
        </w:rPr>
      </w:pPr>
      <w:r>
        <w:rPr>
          <w:rFonts w:hint="default" w:ascii="Times New Roman" w:hAnsi="Times New Roman" w:cs="Times New Roman"/>
        </w:rPr>
        <w:t>2.内容比例：物理学科专业基础主干知识约占60%，中学物理课程与教学论约占</w:t>
      </w:r>
      <w:r>
        <w:rPr>
          <w:rFonts w:hint="default" w:ascii="Times New Roman" w:hAnsi="Times New Roman" w:cs="Times New Roman"/>
          <w:bCs/>
        </w:rPr>
        <w:t>40</w:t>
      </w:r>
      <w:r>
        <w:rPr>
          <w:rFonts w:hint="eastAsia" w:ascii="Times New Roman" w:hAnsi="Times New Roman" w:cs="Times New Roman"/>
          <w:bCs/>
          <w:lang w:val="en-US" w:eastAsia="zh-CN"/>
        </w:rPr>
        <w:t>%</w:t>
      </w:r>
      <w:bookmarkStart w:id="0" w:name="_GoBack"/>
      <w:bookmarkEnd w:id="0"/>
      <w:r>
        <w:rPr>
          <w:rFonts w:hint="default" w:ascii="Times New Roman" w:hAnsi="Times New Roman" w:cs="Times New Roman"/>
          <w:bCs/>
        </w:rPr>
        <w:t>。</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textAlignment w:val="auto"/>
        <w:outlineLvl w:val="9"/>
        <w:rPr>
          <w:rFonts w:hint="default" w:ascii="Times New Roman" w:hAnsi="Times New Roman" w:cs="Times New Roman"/>
        </w:rPr>
      </w:pPr>
      <w:r>
        <w:rPr>
          <w:rFonts w:hint="default" w:ascii="Times New Roman" w:hAnsi="Times New Roman" w:cs="Times New Roman"/>
        </w:rPr>
        <w:t>3.试题难易比例：容易题约占30%，中等难度题约占50%，较难题约占20%。</w:t>
      </w:r>
    </w:p>
    <w:p>
      <w:pPr>
        <w:widowControl/>
        <w:adjustRightInd w:val="0"/>
        <w:snapToGrid w:val="0"/>
        <w:spacing w:line="400" w:lineRule="exact"/>
        <w:ind w:firstLine="420"/>
        <w:jc w:val="left"/>
        <w:rPr>
          <w:b/>
          <w:kern w:val="0"/>
          <w:sz w:val="24"/>
        </w:rPr>
      </w:pPr>
      <w:r>
        <w:rPr>
          <w:b/>
          <w:kern w:val="0"/>
          <w:sz w:val="24"/>
        </w:rPr>
        <w:br w:type="page"/>
      </w:r>
      <w:r>
        <w:rPr>
          <w:rFonts w:hAnsi="ˎ̥"/>
          <w:b/>
          <w:kern w:val="0"/>
          <w:sz w:val="24"/>
        </w:rPr>
        <w:t>附件：</w:t>
      </w:r>
    </w:p>
    <w:p>
      <w:pPr>
        <w:widowControl/>
        <w:snapToGrid w:val="0"/>
        <w:spacing w:line="400" w:lineRule="exact"/>
        <w:ind w:left="1051" w:leftChars="200" w:hanging="631" w:hangingChars="263"/>
        <w:jc w:val="left"/>
        <w:rPr>
          <w:sz w:val="24"/>
        </w:rPr>
      </w:pPr>
      <w:r>
        <w:rPr>
          <w:rFonts w:hAnsi="ˎ̥"/>
          <w:kern w:val="0"/>
          <w:sz w:val="24"/>
        </w:rPr>
        <w:t>表</w:t>
      </w:r>
      <w:r>
        <w:rPr>
          <w:kern w:val="0"/>
          <w:sz w:val="24"/>
        </w:rPr>
        <w:t>1</w:t>
      </w:r>
      <w:r>
        <w:rPr>
          <w:rFonts w:hint="eastAsia"/>
          <w:kern w:val="0"/>
          <w:sz w:val="24"/>
        </w:rPr>
        <w:t>．</w:t>
      </w:r>
      <w:r>
        <w:rPr>
          <w:rFonts w:hint="eastAsia" w:hAnsi="ˎ̥"/>
          <w:kern w:val="0"/>
          <w:sz w:val="24"/>
        </w:rPr>
        <w:t>高中</w:t>
      </w:r>
      <w:r>
        <w:rPr>
          <w:rFonts w:hAnsi="宋体"/>
          <w:kern w:val="0"/>
          <w:sz w:val="24"/>
        </w:rPr>
        <w:t>物理</w:t>
      </w:r>
      <w:r>
        <w:rPr>
          <w:rFonts w:hint="eastAsia" w:hAnsi="宋体"/>
          <w:kern w:val="0"/>
          <w:sz w:val="24"/>
        </w:rPr>
        <w:t>课程结构</w:t>
      </w:r>
    </w:p>
    <w:p>
      <w:pPr>
        <w:widowControl/>
        <w:snapToGrid w:val="0"/>
        <w:ind w:left="559" w:leftChars="20" w:hanging="517" w:hangingChars="246"/>
        <w:jc w:val="left"/>
        <w:rPr>
          <w:szCs w:val="21"/>
        </w:rPr>
      </w:pPr>
    </w:p>
    <w:tbl>
      <w:tblPr>
        <w:tblStyle w:val="8"/>
        <w:tblW w:w="8058"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2112"/>
        <w:gridCol w:w="5946"/>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99" w:hRule="atLeast"/>
          <w:jc w:val="center"/>
        </w:trPr>
        <w:tc>
          <w:tcPr>
            <w:tcW w:w="2112" w:type="dxa"/>
            <w:tcBorders>
              <w:top w:val="single" w:color="000000" w:sz="12" w:space="0"/>
              <w:bottom w:val="single" w:color="000000" w:sz="12" w:space="0"/>
            </w:tcBorders>
            <w:vAlign w:val="center"/>
          </w:tcPr>
          <w:p>
            <w:pPr>
              <w:widowControl/>
              <w:adjustRightInd w:val="0"/>
              <w:snapToGrid w:val="0"/>
              <w:spacing w:line="264" w:lineRule="auto"/>
              <w:jc w:val="center"/>
              <w:rPr>
                <w:b/>
                <w:kern w:val="0"/>
                <w:sz w:val="24"/>
              </w:rPr>
            </w:pPr>
            <w:r>
              <w:rPr>
                <w:rFonts w:hint="eastAsia"/>
                <w:b/>
                <w:kern w:val="0"/>
                <w:sz w:val="24"/>
              </w:rPr>
              <w:t>模   块</w:t>
            </w:r>
          </w:p>
        </w:tc>
        <w:tc>
          <w:tcPr>
            <w:tcW w:w="5946" w:type="dxa"/>
            <w:tcBorders>
              <w:top w:val="single" w:color="000000" w:sz="12" w:space="0"/>
              <w:bottom w:val="single" w:color="000000" w:sz="12" w:space="0"/>
            </w:tcBorders>
            <w:vAlign w:val="center"/>
          </w:tcPr>
          <w:p>
            <w:pPr>
              <w:widowControl/>
              <w:adjustRightInd w:val="0"/>
              <w:snapToGrid w:val="0"/>
              <w:spacing w:line="264" w:lineRule="auto"/>
              <w:jc w:val="center"/>
              <w:rPr>
                <w:b/>
                <w:kern w:val="0"/>
                <w:sz w:val="24"/>
              </w:rPr>
            </w:pPr>
            <w:r>
              <w:rPr>
                <w:rFonts w:hAnsi="ˎ̥"/>
                <w:b/>
                <w:kern w:val="0"/>
                <w:sz w:val="24"/>
              </w:rPr>
              <w:t>主</w:t>
            </w:r>
            <w:r>
              <w:rPr>
                <w:rFonts w:hint="eastAsia" w:hAnsi="ˎ̥"/>
                <w:b/>
                <w:kern w:val="0"/>
                <w:sz w:val="24"/>
              </w:rPr>
              <w:t xml:space="preserve">    </w:t>
            </w:r>
            <w:r>
              <w:rPr>
                <w:rFonts w:hAnsi="ˎ̥"/>
                <w:b/>
                <w:kern w:val="0"/>
                <w:sz w:val="24"/>
              </w:rPr>
              <w:t>题</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99" w:hRule="atLeast"/>
          <w:jc w:val="center"/>
        </w:trPr>
        <w:tc>
          <w:tcPr>
            <w:tcW w:w="2112" w:type="dxa"/>
            <w:tcBorders>
              <w:top w:val="single" w:color="000000" w:sz="12" w:space="0"/>
            </w:tcBorders>
            <w:vAlign w:val="center"/>
          </w:tcPr>
          <w:p>
            <w:pPr>
              <w:widowControl/>
              <w:adjustRightInd w:val="0"/>
              <w:snapToGrid w:val="0"/>
              <w:spacing w:line="264" w:lineRule="auto"/>
              <w:rPr>
                <w:kern w:val="0"/>
                <w:sz w:val="24"/>
              </w:rPr>
            </w:pPr>
            <w:r>
              <w:rPr>
                <w:rFonts w:hint="eastAsia"/>
                <w:kern w:val="0"/>
                <w:sz w:val="24"/>
              </w:rPr>
              <w:t>必修1</w:t>
            </w:r>
          </w:p>
        </w:tc>
        <w:tc>
          <w:tcPr>
            <w:tcW w:w="5946" w:type="dxa"/>
            <w:tcBorders>
              <w:top w:val="single" w:color="000000" w:sz="12" w:space="0"/>
            </w:tcBorders>
            <w:vAlign w:val="center"/>
          </w:tcPr>
          <w:p>
            <w:pPr>
              <w:widowControl/>
              <w:adjustRightInd w:val="0"/>
              <w:snapToGrid w:val="0"/>
              <w:spacing w:line="320" w:lineRule="exact"/>
              <w:rPr>
                <w:kern w:val="0"/>
                <w:sz w:val="24"/>
              </w:rPr>
            </w:pPr>
            <w:r>
              <w:rPr>
                <w:rFonts w:hint="eastAsia" w:hAnsi="ˎ̥"/>
                <w:kern w:val="0"/>
                <w:sz w:val="24"/>
              </w:rPr>
              <w:t>机械</w:t>
            </w:r>
            <w:r>
              <w:rPr>
                <w:rFonts w:hAnsi="ˎ̥"/>
                <w:kern w:val="0"/>
                <w:sz w:val="24"/>
              </w:rPr>
              <w:t>运动</w:t>
            </w:r>
            <w:r>
              <w:rPr>
                <w:rFonts w:hint="eastAsia" w:hAnsi="ˎ̥"/>
                <w:kern w:val="0"/>
                <w:sz w:val="24"/>
              </w:rPr>
              <w:t>与物理模型，相互作用与运动定律</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99" w:hRule="atLeast"/>
          <w:jc w:val="center"/>
        </w:trPr>
        <w:tc>
          <w:tcPr>
            <w:tcW w:w="2112" w:type="dxa"/>
            <w:vAlign w:val="center"/>
          </w:tcPr>
          <w:p>
            <w:pPr>
              <w:widowControl/>
              <w:adjustRightInd w:val="0"/>
              <w:snapToGrid w:val="0"/>
              <w:spacing w:line="264" w:lineRule="auto"/>
              <w:rPr>
                <w:kern w:val="0"/>
                <w:sz w:val="24"/>
              </w:rPr>
            </w:pPr>
            <w:r>
              <w:rPr>
                <w:rFonts w:hint="eastAsia"/>
                <w:kern w:val="0"/>
                <w:sz w:val="24"/>
              </w:rPr>
              <w:t>必修2</w:t>
            </w:r>
          </w:p>
        </w:tc>
        <w:tc>
          <w:tcPr>
            <w:tcW w:w="5946" w:type="dxa"/>
            <w:vAlign w:val="center"/>
          </w:tcPr>
          <w:p>
            <w:pPr>
              <w:widowControl/>
              <w:adjustRightInd w:val="0"/>
              <w:snapToGrid w:val="0"/>
              <w:spacing w:line="320" w:lineRule="exact"/>
              <w:rPr>
                <w:kern w:val="0"/>
                <w:sz w:val="24"/>
              </w:rPr>
            </w:pPr>
            <w:r>
              <w:rPr>
                <w:rFonts w:hint="eastAsia"/>
                <w:kern w:val="0"/>
                <w:sz w:val="24"/>
              </w:rPr>
              <w:t>机械能及其守恒定律，曲线运动与万有引力定律，牛顿力学的局限性与相对论初步</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99" w:hRule="atLeast"/>
          <w:jc w:val="center"/>
        </w:trPr>
        <w:tc>
          <w:tcPr>
            <w:tcW w:w="2112" w:type="dxa"/>
            <w:vAlign w:val="center"/>
          </w:tcPr>
          <w:p>
            <w:pPr>
              <w:widowControl/>
              <w:adjustRightInd w:val="0"/>
              <w:snapToGrid w:val="0"/>
              <w:spacing w:line="264" w:lineRule="auto"/>
              <w:rPr>
                <w:kern w:val="0"/>
                <w:sz w:val="24"/>
              </w:rPr>
            </w:pPr>
            <w:r>
              <w:rPr>
                <w:rFonts w:hint="eastAsia"/>
                <w:kern w:val="0"/>
                <w:sz w:val="24"/>
              </w:rPr>
              <w:t>必修3</w:t>
            </w:r>
          </w:p>
        </w:tc>
        <w:tc>
          <w:tcPr>
            <w:tcW w:w="5946" w:type="dxa"/>
            <w:vAlign w:val="center"/>
          </w:tcPr>
          <w:p>
            <w:pPr>
              <w:widowControl/>
              <w:adjustRightInd w:val="0"/>
              <w:snapToGrid w:val="0"/>
              <w:spacing w:line="320" w:lineRule="exact"/>
              <w:rPr>
                <w:kern w:val="0"/>
                <w:sz w:val="24"/>
              </w:rPr>
            </w:pPr>
            <w:r>
              <w:rPr>
                <w:rFonts w:hint="eastAsia"/>
                <w:kern w:val="0"/>
                <w:sz w:val="24"/>
              </w:rPr>
              <w:t>静电场，电路及其应用，电磁场与电磁波初步，能源与可持续发展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99" w:hRule="atLeast"/>
          <w:jc w:val="center"/>
        </w:trPr>
        <w:tc>
          <w:tcPr>
            <w:tcW w:w="2112" w:type="dxa"/>
            <w:vAlign w:val="center"/>
          </w:tcPr>
          <w:p>
            <w:pPr>
              <w:widowControl/>
              <w:adjustRightInd w:val="0"/>
              <w:snapToGrid w:val="0"/>
              <w:spacing w:line="264" w:lineRule="auto"/>
              <w:rPr>
                <w:kern w:val="0"/>
                <w:sz w:val="24"/>
              </w:rPr>
            </w:pPr>
            <w:r>
              <w:rPr>
                <w:rFonts w:hint="eastAsia"/>
                <w:kern w:val="0"/>
                <w:sz w:val="24"/>
              </w:rPr>
              <w:t>选择性必修1</w:t>
            </w:r>
          </w:p>
        </w:tc>
        <w:tc>
          <w:tcPr>
            <w:tcW w:w="5946" w:type="dxa"/>
            <w:vAlign w:val="center"/>
          </w:tcPr>
          <w:p>
            <w:pPr>
              <w:widowControl/>
              <w:adjustRightInd w:val="0"/>
              <w:snapToGrid w:val="0"/>
              <w:spacing w:line="320" w:lineRule="exact"/>
              <w:rPr>
                <w:kern w:val="0"/>
                <w:sz w:val="24"/>
              </w:rPr>
            </w:pPr>
            <w:r>
              <w:rPr>
                <w:rFonts w:hint="eastAsia"/>
                <w:kern w:val="0"/>
                <w:sz w:val="24"/>
              </w:rPr>
              <w:t>动量与动量守恒定律，机械振动与机械波，光及其应用</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99" w:hRule="atLeast"/>
          <w:jc w:val="center"/>
        </w:trPr>
        <w:tc>
          <w:tcPr>
            <w:tcW w:w="2112" w:type="dxa"/>
            <w:vAlign w:val="center"/>
          </w:tcPr>
          <w:p>
            <w:pPr>
              <w:widowControl/>
              <w:adjustRightInd w:val="0"/>
              <w:snapToGrid w:val="0"/>
              <w:spacing w:line="264" w:lineRule="auto"/>
              <w:rPr>
                <w:kern w:val="0"/>
                <w:sz w:val="24"/>
              </w:rPr>
            </w:pPr>
            <w:r>
              <w:rPr>
                <w:rFonts w:hint="eastAsia"/>
                <w:kern w:val="0"/>
                <w:sz w:val="24"/>
              </w:rPr>
              <w:t>选择性必修2</w:t>
            </w:r>
          </w:p>
        </w:tc>
        <w:tc>
          <w:tcPr>
            <w:tcW w:w="5946" w:type="dxa"/>
            <w:vAlign w:val="center"/>
          </w:tcPr>
          <w:p>
            <w:pPr>
              <w:widowControl/>
              <w:adjustRightInd w:val="0"/>
              <w:snapToGrid w:val="0"/>
              <w:spacing w:line="320" w:lineRule="exact"/>
              <w:rPr>
                <w:kern w:val="0"/>
                <w:sz w:val="24"/>
              </w:rPr>
            </w:pPr>
            <w:r>
              <w:rPr>
                <w:rFonts w:hint="eastAsia"/>
                <w:kern w:val="0"/>
                <w:sz w:val="24"/>
              </w:rPr>
              <w:t>磁场，电磁感应及其应用，电磁振荡与电磁波，传感器</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99" w:hRule="atLeast"/>
          <w:jc w:val="center"/>
        </w:trPr>
        <w:tc>
          <w:tcPr>
            <w:tcW w:w="2112" w:type="dxa"/>
            <w:vAlign w:val="center"/>
          </w:tcPr>
          <w:p>
            <w:pPr>
              <w:widowControl/>
              <w:adjustRightInd w:val="0"/>
              <w:snapToGrid w:val="0"/>
              <w:spacing w:line="264" w:lineRule="auto"/>
              <w:rPr>
                <w:kern w:val="0"/>
                <w:sz w:val="24"/>
              </w:rPr>
            </w:pPr>
            <w:r>
              <w:rPr>
                <w:rFonts w:hint="eastAsia"/>
                <w:kern w:val="0"/>
                <w:sz w:val="24"/>
              </w:rPr>
              <w:t>选择性必修</w:t>
            </w:r>
            <w:r>
              <w:rPr>
                <w:kern w:val="0"/>
                <w:sz w:val="24"/>
              </w:rPr>
              <w:t>3</w:t>
            </w:r>
          </w:p>
        </w:tc>
        <w:tc>
          <w:tcPr>
            <w:tcW w:w="5946" w:type="dxa"/>
            <w:vAlign w:val="center"/>
          </w:tcPr>
          <w:p>
            <w:pPr>
              <w:widowControl/>
              <w:adjustRightInd w:val="0"/>
              <w:snapToGrid w:val="0"/>
              <w:spacing w:line="320" w:lineRule="exact"/>
              <w:rPr>
                <w:kern w:val="0"/>
                <w:sz w:val="24"/>
              </w:rPr>
            </w:pPr>
            <w:r>
              <w:rPr>
                <w:rFonts w:hint="eastAsia"/>
                <w:kern w:val="0"/>
                <w:sz w:val="24"/>
              </w:rPr>
              <w:t>固体、液体和气体，热力学定律，原子与原子核，波粒二象性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99" w:hRule="atLeast"/>
          <w:jc w:val="center"/>
        </w:trPr>
        <w:tc>
          <w:tcPr>
            <w:tcW w:w="2112" w:type="dxa"/>
            <w:tcBorders>
              <w:bottom w:val="single" w:color="000000" w:sz="8" w:space="0"/>
            </w:tcBorders>
            <w:vAlign w:val="center"/>
          </w:tcPr>
          <w:p>
            <w:pPr>
              <w:widowControl/>
              <w:adjustRightInd w:val="0"/>
              <w:snapToGrid w:val="0"/>
              <w:spacing w:line="264" w:lineRule="auto"/>
              <w:rPr>
                <w:kern w:val="0"/>
                <w:sz w:val="24"/>
              </w:rPr>
            </w:pPr>
            <w:r>
              <w:rPr>
                <w:rFonts w:hint="eastAsia"/>
                <w:kern w:val="0"/>
                <w:sz w:val="24"/>
              </w:rPr>
              <w:t>选修</w:t>
            </w:r>
            <w:r>
              <w:rPr>
                <w:kern w:val="0"/>
                <w:sz w:val="24"/>
              </w:rPr>
              <w:t>1</w:t>
            </w:r>
          </w:p>
        </w:tc>
        <w:tc>
          <w:tcPr>
            <w:tcW w:w="5946" w:type="dxa"/>
            <w:tcBorders>
              <w:bottom w:val="single" w:color="000000" w:sz="8" w:space="0"/>
            </w:tcBorders>
            <w:vAlign w:val="center"/>
          </w:tcPr>
          <w:p>
            <w:pPr>
              <w:widowControl/>
              <w:adjustRightInd w:val="0"/>
              <w:snapToGrid w:val="0"/>
              <w:spacing w:line="320" w:lineRule="exact"/>
              <w:rPr>
                <w:kern w:val="0"/>
                <w:sz w:val="24"/>
              </w:rPr>
            </w:pPr>
            <w:r>
              <w:rPr>
                <w:rFonts w:hint="eastAsia"/>
                <w:kern w:val="0"/>
                <w:sz w:val="24"/>
              </w:rPr>
              <w:t>物理学与社会发展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99" w:hRule="atLeast"/>
          <w:jc w:val="center"/>
        </w:trPr>
        <w:tc>
          <w:tcPr>
            <w:tcW w:w="2112" w:type="dxa"/>
            <w:tcBorders>
              <w:top w:val="single" w:color="000000" w:sz="8" w:space="0"/>
              <w:bottom w:val="single" w:color="000000" w:sz="8" w:space="0"/>
            </w:tcBorders>
            <w:vAlign w:val="center"/>
          </w:tcPr>
          <w:p>
            <w:pPr>
              <w:widowControl/>
              <w:adjustRightInd w:val="0"/>
              <w:snapToGrid w:val="0"/>
              <w:spacing w:line="264" w:lineRule="auto"/>
              <w:rPr>
                <w:kern w:val="0"/>
                <w:sz w:val="24"/>
              </w:rPr>
            </w:pPr>
            <w:r>
              <w:rPr>
                <w:rFonts w:hint="eastAsia"/>
                <w:kern w:val="0"/>
                <w:sz w:val="24"/>
              </w:rPr>
              <w:t>选修</w:t>
            </w:r>
            <w:r>
              <w:rPr>
                <w:kern w:val="0"/>
                <w:sz w:val="24"/>
              </w:rPr>
              <w:t>2</w:t>
            </w:r>
          </w:p>
        </w:tc>
        <w:tc>
          <w:tcPr>
            <w:tcW w:w="5946" w:type="dxa"/>
            <w:tcBorders>
              <w:top w:val="single" w:color="000000" w:sz="8" w:space="0"/>
              <w:bottom w:val="single" w:color="000000" w:sz="8" w:space="0"/>
            </w:tcBorders>
            <w:vAlign w:val="center"/>
          </w:tcPr>
          <w:p>
            <w:pPr>
              <w:widowControl/>
              <w:adjustRightInd w:val="0"/>
              <w:snapToGrid w:val="0"/>
              <w:spacing w:line="320" w:lineRule="exact"/>
              <w:rPr>
                <w:kern w:val="0"/>
                <w:sz w:val="24"/>
              </w:rPr>
            </w:pPr>
            <w:r>
              <w:rPr>
                <w:rFonts w:hint="eastAsia"/>
                <w:kern w:val="0"/>
                <w:sz w:val="24"/>
              </w:rPr>
              <w:t>物理学与技术应用</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99" w:hRule="atLeast"/>
          <w:jc w:val="center"/>
        </w:trPr>
        <w:tc>
          <w:tcPr>
            <w:tcW w:w="2112" w:type="dxa"/>
            <w:tcBorders>
              <w:top w:val="single" w:color="000000" w:sz="8" w:space="0"/>
              <w:bottom w:val="single" w:color="000000" w:sz="8" w:space="0"/>
            </w:tcBorders>
            <w:vAlign w:val="center"/>
          </w:tcPr>
          <w:p>
            <w:pPr>
              <w:widowControl/>
              <w:adjustRightInd w:val="0"/>
              <w:snapToGrid w:val="0"/>
              <w:spacing w:line="264" w:lineRule="auto"/>
              <w:rPr>
                <w:kern w:val="0"/>
                <w:sz w:val="24"/>
              </w:rPr>
            </w:pPr>
            <w:r>
              <w:rPr>
                <w:rFonts w:hint="eastAsia"/>
                <w:kern w:val="0"/>
                <w:sz w:val="24"/>
              </w:rPr>
              <w:t>选修3</w:t>
            </w:r>
          </w:p>
        </w:tc>
        <w:tc>
          <w:tcPr>
            <w:tcW w:w="5946" w:type="dxa"/>
            <w:tcBorders>
              <w:top w:val="single" w:color="000000" w:sz="8" w:space="0"/>
              <w:bottom w:val="single" w:color="000000" w:sz="8" w:space="0"/>
            </w:tcBorders>
            <w:vAlign w:val="center"/>
          </w:tcPr>
          <w:p>
            <w:pPr>
              <w:widowControl/>
              <w:adjustRightInd w:val="0"/>
              <w:snapToGrid w:val="0"/>
              <w:spacing w:line="320" w:lineRule="exact"/>
              <w:rPr>
                <w:kern w:val="0"/>
                <w:sz w:val="24"/>
              </w:rPr>
            </w:pPr>
            <w:r>
              <w:rPr>
                <w:rFonts w:hint="eastAsia"/>
                <w:kern w:val="0"/>
                <w:sz w:val="24"/>
              </w:rPr>
              <w:t>近代物理学初步</w:t>
            </w:r>
          </w:p>
        </w:tc>
      </w:tr>
    </w:tbl>
    <w:p>
      <w:pPr>
        <w:widowControl/>
        <w:wordWrap w:val="0"/>
        <w:spacing w:before="100" w:beforeAutospacing="1" w:after="100" w:afterAutospacing="1" w:line="360" w:lineRule="auto"/>
        <w:ind w:firstLine="420"/>
        <w:jc w:val="left"/>
        <w:rPr>
          <w:kern w:val="0"/>
          <w:sz w:val="24"/>
        </w:rPr>
      </w:pPr>
      <w:r>
        <w:rPr>
          <w:rFonts w:hint="eastAsia"/>
          <w:kern w:val="0"/>
          <w:szCs w:val="21"/>
        </w:rPr>
        <w:t>注：相关主题的具体内容见《普通高中物理课程标准（2</w:t>
      </w:r>
      <w:r>
        <w:rPr>
          <w:kern w:val="0"/>
          <w:szCs w:val="21"/>
        </w:rPr>
        <w:t>017</w:t>
      </w:r>
      <w:r>
        <w:rPr>
          <w:rFonts w:hint="eastAsia"/>
          <w:kern w:val="0"/>
          <w:szCs w:val="21"/>
        </w:rPr>
        <w:t>年版2020年修订）》中的课程内容。</w:t>
      </w:r>
      <w:r>
        <w:rPr>
          <w:kern w:val="0"/>
          <w:szCs w:val="21"/>
        </w:rPr>
        <w:br w:type="page"/>
      </w:r>
      <w:r>
        <w:rPr>
          <w:kern w:val="0"/>
          <w:sz w:val="24"/>
        </w:rPr>
        <w:t>表2</w:t>
      </w:r>
      <w:r>
        <w:rPr>
          <w:rFonts w:hint="eastAsia"/>
          <w:kern w:val="0"/>
          <w:sz w:val="24"/>
        </w:rPr>
        <w:t>．高中</w:t>
      </w:r>
      <w:r>
        <w:rPr>
          <w:kern w:val="0"/>
          <w:sz w:val="24"/>
        </w:rPr>
        <w:t>物理实验</w:t>
      </w:r>
    </w:p>
    <w:tbl>
      <w:tblPr>
        <w:tblStyle w:val="8"/>
        <w:tblW w:w="8414" w:type="dxa"/>
        <w:jc w:val="center"/>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261"/>
        <w:gridCol w:w="5387"/>
        <w:gridCol w:w="1766"/>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614" w:hRule="atLeast"/>
          <w:jc w:val="center"/>
        </w:trPr>
        <w:tc>
          <w:tcPr>
            <w:tcW w:w="6648" w:type="dxa"/>
            <w:gridSpan w:val="2"/>
            <w:tcBorders>
              <w:bottom w:val="single" w:color="000000" w:sz="12" w:space="0"/>
            </w:tcBorders>
            <w:vAlign w:val="center"/>
          </w:tcPr>
          <w:p>
            <w:pPr>
              <w:widowControl/>
              <w:snapToGrid w:val="0"/>
              <w:jc w:val="center"/>
              <w:rPr>
                <w:b/>
                <w:kern w:val="0"/>
                <w:sz w:val="24"/>
              </w:rPr>
            </w:pPr>
            <w:r>
              <w:rPr>
                <w:b/>
                <w:kern w:val="0"/>
                <w:sz w:val="24"/>
              </w:rPr>
              <w:t>内</w:t>
            </w:r>
            <w:r>
              <w:rPr>
                <w:rFonts w:hint="eastAsia"/>
                <w:b/>
                <w:kern w:val="0"/>
                <w:sz w:val="24"/>
              </w:rPr>
              <w:t xml:space="preserve">    </w:t>
            </w:r>
            <w:r>
              <w:rPr>
                <w:b/>
                <w:kern w:val="0"/>
                <w:sz w:val="24"/>
              </w:rPr>
              <w:t>容</w:t>
            </w:r>
          </w:p>
        </w:tc>
        <w:tc>
          <w:tcPr>
            <w:tcW w:w="1766" w:type="dxa"/>
            <w:tcBorders>
              <w:bottom w:val="single" w:color="000000" w:sz="12" w:space="0"/>
            </w:tcBorders>
            <w:vAlign w:val="center"/>
          </w:tcPr>
          <w:p>
            <w:pPr>
              <w:widowControl/>
              <w:snapToGrid w:val="0"/>
              <w:jc w:val="center"/>
              <w:rPr>
                <w:b/>
                <w:kern w:val="0"/>
                <w:sz w:val="24"/>
              </w:rPr>
            </w:pPr>
            <w:r>
              <w:rPr>
                <w:b/>
                <w:kern w:val="0"/>
                <w:sz w:val="24"/>
              </w:rPr>
              <w:t>说</w:t>
            </w:r>
            <w:r>
              <w:rPr>
                <w:rFonts w:hint="eastAsia"/>
                <w:b/>
                <w:kern w:val="0"/>
                <w:sz w:val="24"/>
              </w:rPr>
              <w:t xml:space="preserve">  </w:t>
            </w:r>
            <w:r>
              <w:rPr>
                <w:b/>
                <w:kern w:val="0"/>
                <w:sz w:val="24"/>
              </w:rPr>
              <w:t>明</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1021" w:hRule="atLeast"/>
          <w:jc w:val="center"/>
        </w:trPr>
        <w:tc>
          <w:tcPr>
            <w:tcW w:w="1261" w:type="dxa"/>
            <w:tcBorders>
              <w:top w:val="single" w:color="000000" w:sz="12" w:space="0"/>
              <w:bottom w:val="single" w:color="000000" w:sz="8" w:space="0"/>
            </w:tcBorders>
            <w:vAlign w:val="center"/>
          </w:tcPr>
          <w:p>
            <w:pPr>
              <w:widowControl/>
              <w:adjustRightInd w:val="0"/>
              <w:snapToGrid w:val="0"/>
              <w:spacing w:line="300" w:lineRule="auto"/>
              <w:rPr>
                <w:kern w:val="0"/>
                <w:sz w:val="24"/>
              </w:rPr>
            </w:pPr>
            <w:r>
              <w:rPr>
                <w:rFonts w:hint="eastAsia"/>
                <w:kern w:val="0"/>
                <w:sz w:val="24"/>
              </w:rPr>
              <w:t>必修课程的物理实验</w:t>
            </w:r>
          </w:p>
        </w:tc>
        <w:tc>
          <w:tcPr>
            <w:tcW w:w="5387" w:type="dxa"/>
            <w:tcBorders>
              <w:top w:val="single" w:color="000000" w:sz="12" w:space="0"/>
              <w:bottom w:val="single" w:color="000000" w:sz="8" w:space="0"/>
            </w:tcBorders>
          </w:tcPr>
          <w:p>
            <w:pPr>
              <w:widowControl/>
              <w:adjustRightInd w:val="0"/>
              <w:snapToGrid w:val="0"/>
              <w:spacing w:line="300" w:lineRule="auto"/>
              <w:jc w:val="left"/>
              <w:rPr>
                <w:kern w:val="0"/>
                <w:sz w:val="24"/>
              </w:rPr>
            </w:pPr>
            <w:r>
              <w:rPr>
                <w:rFonts w:hint="eastAsia"/>
                <w:kern w:val="0"/>
                <w:sz w:val="24"/>
              </w:rPr>
              <w:t>测量做直线运动物体的瞬时速度</w:t>
            </w:r>
          </w:p>
          <w:p>
            <w:pPr>
              <w:widowControl/>
              <w:adjustRightInd w:val="0"/>
              <w:snapToGrid w:val="0"/>
              <w:spacing w:line="300" w:lineRule="auto"/>
              <w:jc w:val="left"/>
              <w:rPr>
                <w:kern w:val="0"/>
                <w:sz w:val="24"/>
              </w:rPr>
            </w:pPr>
            <w:r>
              <w:rPr>
                <w:kern w:val="0"/>
                <w:sz w:val="24"/>
              </w:rPr>
              <w:t>探究</w:t>
            </w:r>
            <w:r>
              <w:rPr>
                <w:rFonts w:hint="eastAsia"/>
                <w:kern w:val="0"/>
                <w:sz w:val="24"/>
              </w:rPr>
              <w:t>弹簧</w:t>
            </w:r>
            <w:r>
              <w:rPr>
                <w:kern w:val="0"/>
                <w:sz w:val="24"/>
              </w:rPr>
              <w:t>弹力</w:t>
            </w:r>
            <w:r>
              <w:rPr>
                <w:rFonts w:hint="eastAsia"/>
                <w:kern w:val="0"/>
                <w:sz w:val="24"/>
              </w:rPr>
              <w:t>与形变量</w:t>
            </w:r>
            <w:r>
              <w:rPr>
                <w:kern w:val="0"/>
                <w:sz w:val="24"/>
              </w:rPr>
              <w:t>的关系</w:t>
            </w:r>
          </w:p>
          <w:p>
            <w:pPr>
              <w:widowControl/>
              <w:adjustRightInd w:val="0"/>
              <w:snapToGrid w:val="0"/>
              <w:spacing w:line="300" w:lineRule="auto"/>
              <w:jc w:val="left"/>
              <w:rPr>
                <w:kern w:val="0"/>
                <w:sz w:val="24"/>
              </w:rPr>
            </w:pPr>
            <w:r>
              <w:rPr>
                <w:rFonts w:hint="eastAsia"/>
                <w:kern w:val="0"/>
                <w:sz w:val="24"/>
              </w:rPr>
              <w:t>探究两个互成角度的力的合成规律</w:t>
            </w:r>
          </w:p>
          <w:p>
            <w:pPr>
              <w:widowControl/>
              <w:adjustRightInd w:val="0"/>
              <w:snapToGrid w:val="0"/>
              <w:spacing w:line="300" w:lineRule="auto"/>
              <w:jc w:val="left"/>
              <w:rPr>
                <w:kern w:val="0"/>
                <w:sz w:val="24"/>
              </w:rPr>
            </w:pPr>
            <w:r>
              <w:rPr>
                <w:rFonts w:hint="eastAsia"/>
                <w:kern w:val="0"/>
                <w:sz w:val="24"/>
              </w:rPr>
              <w:t>探究加速度与物体受力、物体质量的关系</w:t>
            </w:r>
          </w:p>
          <w:p>
            <w:pPr>
              <w:widowControl/>
              <w:adjustRightInd w:val="0"/>
              <w:snapToGrid w:val="0"/>
              <w:spacing w:line="300" w:lineRule="auto"/>
              <w:jc w:val="left"/>
              <w:rPr>
                <w:kern w:val="0"/>
                <w:sz w:val="24"/>
              </w:rPr>
            </w:pPr>
            <w:r>
              <w:rPr>
                <w:kern w:val="0"/>
                <w:sz w:val="24"/>
              </w:rPr>
              <w:t>验证机械能守恒定律</w:t>
            </w:r>
          </w:p>
          <w:p>
            <w:pPr>
              <w:widowControl/>
              <w:adjustRightInd w:val="0"/>
              <w:snapToGrid w:val="0"/>
              <w:spacing w:line="300" w:lineRule="auto"/>
              <w:jc w:val="left"/>
              <w:rPr>
                <w:kern w:val="0"/>
                <w:sz w:val="24"/>
              </w:rPr>
            </w:pPr>
            <w:r>
              <w:rPr>
                <w:rFonts w:hint="eastAsia"/>
                <w:kern w:val="0"/>
                <w:sz w:val="24"/>
              </w:rPr>
              <w:t>探究平抛运动的特点</w:t>
            </w:r>
          </w:p>
          <w:p>
            <w:pPr>
              <w:widowControl/>
              <w:adjustRightInd w:val="0"/>
              <w:snapToGrid w:val="0"/>
              <w:spacing w:line="300" w:lineRule="auto"/>
              <w:jc w:val="left"/>
              <w:rPr>
                <w:kern w:val="0"/>
                <w:sz w:val="24"/>
              </w:rPr>
            </w:pPr>
            <w:r>
              <w:rPr>
                <w:rFonts w:hint="eastAsia"/>
                <w:kern w:val="0"/>
                <w:sz w:val="24"/>
              </w:rPr>
              <w:t>探究向心力大小与半径、角速度、质量的关系</w:t>
            </w:r>
          </w:p>
          <w:p>
            <w:pPr>
              <w:widowControl/>
              <w:adjustRightInd w:val="0"/>
              <w:snapToGrid w:val="0"/>
              <w:spacing w:line="300" w:lineRule="auto"/>
              <w:jc w:val="left"/>
              <w:rPr>
                <w:kern w:val="0"/>
                <w:sz w:val="24"/>
              </w:rPr>
            </w:pPr>
            <w:r>
              <w:rPr>
                <w:rFonts w:hint="eastAsia"/>
                <w:kern w:val="0"/>
                <w:sz w:val="24"/>
              </w:rPr>
              <w:t>观察电容器的充、放电现象</w:t>
            </w:r>
          </w:p>
          <w:p>
            <w:pPr>
              <w:widowControl/>
              <w:adjustRightInd w:val="0"/>
              <w:snapToGrid w:val="0"/>
              <w:spacing w:line="300" w:lineRule="auto"/>
              <w:jc w:val="left"/>
              <w:rPr>
                <w:kern w:val="0"/>
                <w:sz w:val="24"/>
              </w:rPr>
            </w:pPr>
            <w:r>
              <w:rPr>
                <w:rFonts w:hint="eastAsia"/>
                <w:kern w:val="0"/>
                <w:sz w:val="24"/>
              </w:rPr>
              <w:t>长度的测量及其测量工具的选用</w:t>
            </w:r>
          </w:p>
          <w:p>
            <w:pPr>
              <w:widowControl/>
              <w:adjustRightInd w:val="0"/>
              <w:snapToGrid w:val="0"/>
              <w:spacing w:line="300" w:lineRule="auto"/>
              <w:jc w:val="left"/>
              <w:rPr>
                <w:kern w:val="0"/>
                <w:sz w:val="24"/>
              </w:rPr>
            </w:pPr>
            <w:r>
              <w:rPr>
                <w:kern w:val="0"/>
                <w:sz w:val="24"/>
              </w:rPr>
              <w:t>测</w:t>
            </w:r>
            <w:r>
              <w:rPr>
                <w:rFonts w:hint="eastAsia"/>
                <w:kern w:val="0"/>
                <w:sz w:val="24"/>
              </w:rPr>
              <w:t>量</w:t>
            </w:r>
            <w:r>
              <w:rPr>
                <w:kern w:val="0"/>
                <w:sz w:val="24"/>
              </w:rPr>
              <w:t>金属</w:t>
            </w:r>
            <w:r>
              <w:rPr>
                <w:rFonts w:hint="eastAsia"/>
                <w:kern w:val="0"/>
                <w:sz w:val="24"/>
              </w:rPr>
              <w:t>丝</w:t>
            </w:r>
            <w:r>
              <w:rPr>
                <w:kern w:val="0"/>
                <w:sz w:val="24"/>
              </w:rPr>
              <w:t>的电阻率</w:t>
            </w:r>
          </w:p>
          <w:p>
            <w:pPr>
              <w:widowControl/>
              <w:adjustRightInd w:val="0"/>
              <w:snapToGrid w:val="0"/>
              <w:spacing w:line="300" w:lineRule="auto"/>
              <w:jc w:val="left"/>
              <w:rPr>
                <w:kern w:val="0"/>
                <w:sz w:val="24"/>
              </w:rPr>
            </w:pPr>
            <w:r>
              <w:rPr>
                <w:rFonts w:hint="eastAsia"/>
                <w:kern w:val="0"/>
                <w:sz w:val="24"/>
              </w:rPr>
              <w:t>用多用电表测量电学中的物理量</w:t>
            </w:r>
          </w:p>
          <w:p>
            <w:pPr>
              <w:widowControl/>
              <w:adjustRightInd w:val="0"/>
              <w:snapToGrid w:val="0"/>
              <w:spacing w:line="300" w:lineRule="auto"/>
              <w:jc w:val="left"/>
              <w:rPr>
                <w:kern w:val="0"/>
                <w:sz w:val="24"/>
              </w:rPr>
            </w:pPr>
            <w:r>
              <w:rPr>
                <w:kern w:val="0"/>
                <w:sz w:val="24"/>
              </w:rPr>
              <w:t>测</w:t>
            </w:r>
            <w:r>
              <w:rPr>
                <w:rFonts w:hint="eastAsia"/>
                <w:kern w:val="0"/>
                <w:sz w:val="24"/>
              </w:rPr>
              <w:t>量</w:t>
            </w:r>
            <w:r>
              <w:rPr>
                <w:kern w:val="0"/>
                <w:sz w:val="24"/>
              </w:rPr>
              <w:t>电源的电动势和内阻</w:t>
            </w:r>
          </w:p>
        </w:tc>
        <w:tc>
          <w:tcPr>
            <w:tcW w:w="1766" w:type="dxa"/>
            <w:vMerge w:val="restart"/>
            <w:tcBorders>
              <w:top w:val="single" w:color="000000" w:sz="12" w:space="0"/>
            </w:tcBorders>
          </w:tcPr>
          <w:p>
            <w:pPr>
              <w:widowControl/>
              <w:adjustRightInd w:val="0"/>
              <w:snapToGrid w:val="0"/>
              <w:spacing w:line="300" w:lineRule="auto"/>
              <w:ind w:left="323" w:leftChars="-4" w:hanging="331" w:hangingChars="138"/>
              <w:jc w:val="left"/>
              <w:rPr>
                <w:kern w:val="0"/>
                <w:sz w:val="24"/>
              </w:rPr>
            </w:pPr>
            <w:r>
              <w:rPr>
                <w:rFonts w:hint="eastAsia"/>
                <w:kern w:val="0"/>
                <w:sz w:val="24"/>
              </w:rPr>
              <w:t>1．掌握基本实验仪器的</w:t>
            </w:r>
            <w:r>
              <w:rPr>
                <w:kern w:val="0"/>
                <w:sz w:val="24"/>
              </w:rPr>
              <w:t>使用</w:t>
            </w:r>
            <w:r>
              <w:rPr>
                <w:rFonts w:hint="eastAsia"/>
                <w:kern w:val="0"/>
                <w:sz w:val="24"/>
              </w:rPr>
              <w:t>方法</w:t>
            </w:r>
          </w:p>
          <w:p>
            <w:pPr>
              <w:adjustRightInd w:val="0"/>
              <w:snapToGrid w:val="0"/>
              <w:spacing w:line="300" w:lineRule="auto"/>
              <w:ind w:left="300" w:hanging="300" w:hangingChars="125"/>
              <w:jc w:val="left"/>
              <w:rPr>
                <w:kern w:val="0"/>
                <w:sz w:val="24"/>
              </w:rPr>
            </w:pPr>
            <w:r>
              <w:rPr>
                <w:rFonts w:hint="eastAsia" w:cs="Arial"/>
                <w:sz w:val="24"/>
              </w:rPr>
              <w:t>2．</w:t>
            </w:r>
            <w:r>
              <w:rPr>
                <w:rFonts w:cs="Arial"/>
                <w:sz w:val="24"/>
              </w:rPr>
              <w:t>能运用物理理论、实验方法和实验仪器设计实验</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3984" w:hRule="atLeast"/>
          <w:jc w:val="center"/>
        </w:trPr>
        <w:tc>
          <w:tcPr>
            <w:tcW w:w="1261" w:type="dxa"/>
            <w:tcBorders>
              <w:top w:val="single" w:color="000000" w:sz="8" w:space="0"/>
            </w:tcBorders>
            <w:vAlign w:val="center"/>
          </w:tcPr>
          <w:p>
            <w:pPr>
              <w:widowControl/>
              <w:adjustRightInd w:val="0"/>
              <w:snapToGrid w:val="0"/>
              <w:spacing w:line="300" w:lineRule="auto"/>
              <w:rPr>
                <w:kern w:val="0"/>
                <w:sz w:val="24"/>
              </w:rPr>
            </w:pPr>
            <w:r>
              <w:rPr>
                <w:rFonts w:hint="eastAsia"/>
                <w:kern w:val="0"/>
                <w:sz w:val="24"/>
              </w:rPr>
              <w:t>选择性必修课程的物理实验</w:t>
            </w:r>
          </w:p>
        </w:tc>
        <w:tc>
          <w:tcPr>
            <w:tcW w:w="5387" w:type="dxa"/>
            <w:tcBorders>
              <w:top w:val="single" w:color="000000" w:sz="8" w:space="0"/>
            </w:tcBorders>
          </w:tcPr>
          <w:p>
            <w:pPr>
              <w:widowControl/>
              <w:adjustRightInd w:val="0"/>
              <w:snapToGrid w:val="0"/>
              <w:spacing w:line="300" w:lineRule="auto"/>
              <w:jc w:val="left"/>
              <w:rPr>
                <w:kern w:val="0"/>
                <w:sz w:val="24"/>
              </w:rPr>
            </w:pPr>
            <w:r>
              <w:rPr>
                <w:kern w:val="0"/>
                <w:sz w:val="24"/>
              </w:rPr>
              <w:t>验证动量守恒定律</w:t>
            </w:r>
          </w:p>
          <w:p>
            <w:pPr>
              <w:widowControl/>
              <w:adjustRightInd w:val="0"/>
              <w:snapToGrid w:val="0"/>
              <w:spacing w:line="300" w:lineRule="auto"/>
              <w:jc w:val="left"/>
              <w:rPr>
                <w:kern w:val="0"/>
                <w:sz w:val="24"/>
              </w:rPr>
            </w:pPr>
            <w:r>
              <w:rPr>
                <w:kern w:val="0"/>
                <w:sz w:val="24"/>
              </w:rPr>
              <w:t>用单摆测</w:t>
            </w:r>
            <w:r>
              <w:rPr>
                <w:rFonts w:hint="eastAsia"/>
                <w:kern w:val="0"/>
                <w:sz w:val="24"/>
              </w:rPr>
              <w:t>量</w:t>
            </w:r>
            <w:r>
              <w:rPr>
                <w:kern w:val="0"/>
                <w:sz w:val="24"/>
              </w:rPr>
              <w:t>重力加速度</w:t>
            </w:r>
            <w:r>
              <w:rPr>
                <w:rFonts w:hint="eastAsia"/>
                <w:kern w:val="0"/>
                <w:sz w:val="24"/>
              </w:rPr>
              <w:t>的大小</w:t>
            </w:r>
          </w:p>
          <w:p>
            <w:pPr>
              <w:widowControl/>
              <w:adjustRightInd w:val="0"/>
              <w:snapToGrid w:val="0"/>
              <w:spacing w:line="300" w:lineRule="auto"/>
              <w:jc w:val="left"/>
              <w:rPr>
                <w:kern w:val="0"/>
                <w:sz w:val="24"/>
              </w:rPr>
            </w:pPr>
            <w:r>
              <w:rPr>
                <w:kern w:val="0"/>
                <w:sz w:val="24"/>
              </w:rPr>
              <w:t>测</w:t>
            </w:r>
            <w:r>
              <w:rPr>
                <w:rFonts w:hint="eastAsia"/>
                <w:kern w:val="0"/>
                <w:sz w:val="24"/>
              </w:rPr>
              <w:t>量</w:t>
            </w:r>
            <w:r>
              <w:rPr>
                <w:kern w:val="0"/>
                <w:sz w:val="24"/>
              </w:rPr>
              <w:t>玻璃的折射率</w:t>
            </w:r>
          </w:p>
          <w:p>
            <w:pPr>
              <w:widowControl/>
              <w:adjustRightInd w:val="0"/>
              <w:snapToGrid w:val="0"/>
              <w:spacing w:line="300" w:lineRule="auto"/>
              <w:jc w:val="left"/>
              <w:rPr>
                <w:kern w:val="0"/>
                <w:sz w:val="24"/>
              </w:rPr>
            </w:pPr>
            <w:r>
              <w:rPr>
                <w:kern w:val="0"/>
                <w:sz w:val="24"/>
              </w:rPr>
              <w:t>用双缝干涉</w:t>
            </w:r>
            <w:r>
              <w:rPr>
                <w:rFonts w:hint="eastAsia"/>
                <w:kern w:val="0"/>
                <w:sz w:val="24"/>
              </w:rPr>
              <w:t>实验</w:t>
            </w:r>
            <w:r>
              <w:rPr>
                <w:kern w:val="0"/>
                <w:sz w:val="24"/>
              </w:rPr>
              <w:t>测</w:t>
            </w:r>
            <w:r>
              <w:rPr>
                <w:rFonts w:hint="eastAsia"/>
                <w:kern w:val="0"/>
                <w:sz w:val="24"/>
              </w:rPr>
              <w:t>量</w:t>
            </w:r>
            <w:r>
              <w:rPr>
                <w:kern w:val="0"/>
                <w:sz w:val="24"/>
              </w:rPr>
              <w:t>光的波长</w:t>
            </w:r>
          </w:p>
          <w:p>
            <w:pPr>
              <w:widowControl/>
              <w:adjustRightInd w:val="0"/>
              <w:snapToGrid w:val="0"/>
              <w:spacing w:line="300" w:lineRule="auto"/>
              <w:jc w:val="left"/>
              <w:rPr>
                <w:kern w:val="0"/>
                <w:sz w:val="24"/>
              </w:rPr>
            </w:pPr>
            <w:r>
              <w:rPr>
                <w:rFonts w:hint="eastAsia"/>
                <w:kern w:val="0"/>
                <w:sz w:val="24"/>
              </w:rPr>
              <w:t>探究影响感应电流方向的因素</w:t>
            </w:r>
          </w:p>
          <w:p>
            <w:pPr>
              <w:widowControl/>
              <w:adjustRightInd w:val="0"/>
              <w:snapToGrid w:val="0"/>
              <w:spacing w:line="300" w:lineRule="auto"/>
              <w:jc w:val="left"/>
              <w:rPr>
                <w:kern w:val="0"/>
                <w:sz w:val="24"/>
              </w:rPr>
            </w:pPr>
            <w:r>
              <w:rPr>
                <w:rFonts w:hint="eastAsia"/>
                <w:kern w:val="0"/>
                <w:sz w:val="24"/>
              </w:rPr>
              <w:t>探究变压器原、副线圈电压与匝数的关系</w:t>
            </w:r>
          </w:p>
          <w:p>
            <w:pPr>
              <w:widowControl/>
              <w:adjustRightInd w:val="0"/>
              <w:snapToGrid w:val="0"/>
              <w:spacing w:line="300" w:lineRule="auto"/>
              <w:jc w:val="left"/>
              <w:rPr>
                <w:kern w:val="0"/>
                <w:sz w:val="24"/>
              </w:rPr>
            </w:pPr>
            <w:r>
              <w:rPr>
                <w:rFonts w:hint="eastAsia"/>
                <w:kern w:val="0"/>
                <w:sz w:val="24"/>
              </w:rPr>
              <w:t>利用传感器制作简单的自动控制装置</w:t>
            </w:r>
          </w:p>
          <w:p>
            <w:pPr>
              <w:widowControl/>
              <w:adjustRightInd w:val="0"/>
              <w:snapToGrid w:val="0"/>
              <w:spacing w:line="300" w:lineRule="auto"/>
              <w:jc w:val="left"/>
              <w:rPr>
                <w:kern w:val="0"/>
                <w:sz w:val="24"/>
              </w:rPr>
            </w:pPr>
            <w:r>
              <w:rPr>
                <w:kern w:val="0"/>
                <w:sz w:val="24"/>
              </w:rPr>
              <w:t>用油膜法估测</w:t>
            </w:r>
            <w:r>
              <w:rPr>
                <w:rFonts w:hint="eastAsia"/>
                <w:kern w:val="0"/>
                <w:sz w:val="24"/>
              </w:rPr>
              <w:t>油酸</w:t>
            </w:r>
            <w:r>
              <w:rPr>
                <w:kern w:val="0"/>
                <w:sz w:val="24"/>
              </w:rPr>
              <w:t>分子的大小</w:t>
            </w:r>
          </w:p>
          <w:p>
            <w:pPr>
              <w:widowControl/>
              <w:adjustRightInd w:val="0"/>
              <w:snapToGrid w:val="0"/>
              <w:spacing w:line="300" w:lineRule="auto"/>
              <w:jc w:val="left"/>
              <w:rPr>
                <w:kern w:val="0"/>
                <w:sz w:val="24"/>
              </w:rPr>
            </w:pPr>
            <w:r>
              <w:rPr>
                <w:rFonts w:hint="eastAsia"/>
                <w:kern w:val="0"/>
                <w:sz w:val="24"/>
              </w:rPr>
              <w:t>探究等温情况下一定质量气体压强与体积的关系</w:t>
            </w:r>
          </w:p>
        </w:tc>
        <w:tc>
          <w:tcPr>
            <w:tcW w:w="1766" w:type="dxa"/>
            <w:vMerge w:val="continue"/>
          </w:tcPr>
          <w:p>
            <w:pPr>
              <w:adjustRightInd w:val="0"/>
              <w:snapToGrid w:val="0"/>
              <w:spacing w:line="300" w:lineRule="auto"/>
              <w:jc w:val="left"/>
              <w:rPr>
                <w:kern w:val="0"/>
                <w:sz w:val="24"/>
              </w:rPr>
            </w:pPr>
          </w:p>
        </w:tc>
      </w:tr>
    </w:tbl>
    <w:p/>
    <w:sectPr>
      <w:headerReference r:id="rId3" w:type="default"/>
      <w:footerReference r:id="rId4" w:type="default"/>
      <w:footerReference r:id="rId5"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4</w:t>
    </w:r>
    <w:r>
      <w:rPr>
        <w:rStyle w:val="7"/>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0C46"/>
    <w:rsid w:val="000958FB"/>
    <w:rsid w:val="000B0C46"/>
    <w:rsid w:val="00137580"/>
    <w:rsid w:val="00156C3C"/>
    <w:rsid w:val="002A44BB"/>
    <w:rsid w:val="002B3A65"/>
    <w:rsid w:val="002C5EF8"/>
    <w:rsid w:val="004A2920"/>
    <w:rsid w:val="00517CB3"/>
    <w:rsid w:val="00556101"/>
    <w:rsid w:val="005952AC"/>
    <w:rsid w:val="006308E9"/>
    <w:rsid w:val="00712137"/>
    <w:rsid w:val="007220CE"/>
    <w:rsid w:val="00725AA2"/>
    <w:rsid w:val="00823228"/>
    <w:rsid w:val="00851858"/>
    <w:rsid w:val="009A1CA5"/>
    <w:rsid w:val="00A0030E"/>
    <w:rsid w:val="00A67780"/>
    <w:rsid w:val="00B84525"/>
    <w:rsid w:val="00BB59F6"/>
    <w:rsid w:val="00BD356F"/>
    <w:rsid w:val="00C144B4"/>
    <w:rsid w:val="00C416B5"/>
    <w:rsid w:val="00C63664"/>
    <w:rsid w:val="00CA1D63"/>
    <w:rsid w:val="00D8701B"/>
    <w:rsid w:val="00D90B1C"/>
    <w:rsid w:val="00DB70EB"/>
    <w:rsid w:val="00F20C31"/>
    <w:rsid w:val="00F27A40"/>
    <w:rsid w:val="00F51458"/>
    <w:rsid w:val="00FB3694"/>
    <w:rsid w:val="00FF1C21"/>
    <w:rsid w:val="0A5B6EA3"/>
    <w:rsid w:val="1F3D4777"/>
    <w:rsid w:val="29331318"/>
    <w:rsid w:val="3F7415C0"/>
    <w:rsid w:val="405B67BF"/>
    <w:rsid w:val="53417BE1"/>
    <w:rsid w:val="6EC94B5E"/>
    <w:rsid w:val="76F1402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 w:type="character" w:styleId="7">
    <w:name w:val="page number"/>
    <w:basedOn w:val="5"/>
    <w:qFormat/>
    <w:uiPriority w:val="0"/>
  </w:style>
  <w:style w:type="character" w:customStyle="1" w:styleId="9">
    <w:name w:val="页脚 字符"/>
    <w:basedOn w:val="5"/>
    <w:link w:val="2"/>
    <w:qFormat/>
    <w:uiPriority w:val="0"/>
    <w:rPr>
      <w:rFonts w:ascii="Times New Roman" w:hAnsi="Times New Roman" w:eastAsia="宋体" w:cs="Times New Roman"/>
      <w:sz w:val="18"/>
      <w:szCs w:val="18"/>
    </w:rPr>
  </w:style>
  <w:style w:type="character" w:customStyle="1" w:styleId="10">
    <w:name w:val="页眉 字符"/>
    <w:basedOn w:val="5"/>
    <w:link w:val="3"/>
    <w:qFormat/>
    <w:uiPriority w:val="0"/>
    <w:rPr>
      <w:rFonts w:ascii="Times New Roman" w:hAnsi="Times New Roman" w:eastAsia="宋体" w:cs="Times New Roman"/>
      <w:sz w:val="18"/>
      <w:szCs w:val="18"/>
    </w:rPr>
  </w:style>
  <w:style w:type="paragraph" w:customStyle="1" w:styleId="11">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455445-465D-495A-A6E0-A7542A642B07}">
  <ds:schemaRefs/>
</ds:datastoreItem>
</file>

<file path=docProps/app.xml><?xml version="1.0" encoding="utf-8"?>
<Properties xmlns="http://schemas.openxmlformats.org/officeDocument/2006/extended-properties" xmlns:vt="http://schemas.openxmlformats.org/officeDocument/2006/docPropsVTypes">
  <Template>Normal</Template>
  <Pages>4</Pages>
  <Words>281</Words>
  <Characters>1608</Characters>
  <Lines>13</Lines>
  <Paragraphs>3</Paragraphs>
  <ScaleCrop>false</ScaleCrop>
  <LinksUpToDate>false</LinksUpToDate>
  <CharactersWithSpaces>1886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2018-10-14T01:28:00Z</dcterms:created>
  <dc:creator>Chen Longfa</dc:creator>
  <cp:lastModifiedBy>PC</cp:lastModifiedBy>
  <dcterms:modified xsi:type="dcterms:W3CDTF">2021-02-05T09:37:49Z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